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2950A3">
            <w:r>
              <w:t>«___»_______________201</w:t>
            </w:r>
            <w:r w:rsidR="002950A3">
              <w:t>7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030BE8">
        <w:t xml:space="preserve">Муниципальному общеобразовательному </w:t>
      </w:r>
      <w:r w:rsidR="000D4E23" w:rsidRPr="00030BE8">
        <w:t xml:space="preserve">бюджетному </w:t>
      </w:r>
      <w:r w:rsidR="00A24205" w:rsidRPr="00030BE8">
        <w:t xml:space="preserve">учреждению </w:t>
      </w:r>
      <w:r w:rsidR="00030BE8" w:rsidRPr="00030BE8">
        <w:t>основной</w:t>
      </w:r>
      <w:r w:rsidR="000D4E23" w:rsidRPr="00030BE8">
        <w:t xml:space="preserve"> общеобразовательной школе №</w:t>
      </w:r>
      <w:r w:rsidR="00030BE8" w:rsidRPr="00030BE8">
        <w:t xml:space="preserve"> 48</w:t>
      </w:r>
      <w:r w:rsidR="00A24205" w:rsidRPr="00030BE8">
        <w:t xml:space="preserve"> </w:t>
      </w:r>
      <w:r w:rsidR="00030BE8" w:rsidRPr="00030BE8">
        <w:t>г. Сочи</w:t>
      </w:r>
      <w:bookmarkStart w:id="0" w:name="_GoBack"/>
      <w:bookmarkEnd w:id="0"/>
      <w:r w:rsidR="00A24205" w:rsidRPr="00030BE8">
        <w:t>,</w:t>
      </w:r>
      <w:r w:rsidRPr="00BA3080">
        <w:t xml:space="preserve"> в лице директора </w:t>
      </w:r>
      <w:r w:rsidR="00030BE8">
        <w:t>Михайловой Татьяны Вячеславовны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C44DD7">
        <w:t>3</w:t>
      </w:r>
      <w:r w:rsidRPr="00BA3080">
        <w:t xml:space="preserve">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r w:rsidR="005E4068" w:rsidRPr="00BA3080">
        <w:t>законе №</w:t>
      </w:r>
      <w:r w:rsidR="00B7343A" w:rsidRPr="00BA3080">
        <w:t>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r w:rsidR="005E4068">
        <w:t>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 законного представителя)</w:t>
      </w:r>
      <w:r w:rsidR="00C47458" w:rsidRPr="00BA3080">
        <w:t>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C44DD7" w:rsidRPr="00BA3080" w:rsidRDefault="00C44DD7" w:rsidP="000D4E23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E4068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641F2C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D" w:rsidRDefault="00C62B8D" w:rsidP="000D0260">
      <w:r>
        <w:separator/>
      </w:r>
    </w:p>
  </w:endnote>
  <w:endnote w:type="continuationSeparator" w:id="0">
    <w:p w:rsidR="00C62B8D" w:rsidRDefault="00C62B8D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D" w:rsidRDefault="00C62B8D" w:rsidP="000D0260">
      <w:r>
        <w:separator/>
      </w:r>
    </w:p>
  </w:footnote>
  <w:footnote w:type="continuationSeparator" w:id="0">
    <w:p w:rsidR="00C62B8D" w:rsidRDefault="00C62B8D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30BE8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92232"/>
    <w:rsid w:val="002950A3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833CD3"/>
    <w:rsid w:val="008B2898"/>
    <w:rsid w:val="008F3392"/>
    <w:rsid w:val="00963BC1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62B8D"/>
    <w:rsid w:val="00CF3D26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5</cp:revision>
  <dcterms:created xsi:type="dcterms:W3CDTF">2016-09-21T18:58:00Z</dcterms:created>
  <dcterms:modified xsi:type="dcterms:W3CDTF">2017-01-31T09:45:00Z</dcterms:modified>
</cp:coreProperties>
</file>